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TR-0021 · Labour</w:t>
      </w:r>
    </w:p>
    <w:p>
      <w:pPr>
        <w:pStyle w:val="Title"/>
      </w:pPr>
      <w:r>
        <w:t xml:space="preserve">The ABC Test for Platform Workers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California presumes a worker is an employee unless three conditions are met; the United Kingdom reached a similar result in Uber.</w:t>
      </w:r>
    </w:p>
    <w:p>
      <w:pPr>
        <w:pStyle w:val="Guidance"/>
      </w:pPr>
      <w:r>
        <w:t xml:space="preserve">Authorities to start from. These are places to begin, listed by the editors. Read each one in the original and check the citation before you rely on it.</w:t>
      </w:r>
    </w:p>
    <w:p>
      <w:pPr>
        <w:pStyle w:val="Bullet"/>
      </w:pPr>
      <w:r>
        <w:t xml:space="preserve">•  Dynamex Operations West, Inc. v. Superior Court, 416 P.3d 1 (Cal. 2018)</w:t>
      </w:r>
    </w:p>
    <w:p>
      <w:pPr>
        <w:pStyle w:val="Bullet"/>
      </w:pPr>
      <w:r>
        <w:t xml:space="preserve">•  Uber BV v. Aslam, [2021] UKSC 5</w:t>
      </w:r>
    </w:p>
    <w:p>
      <w:pPr>
        <w:pStyle w:val="Bullet"/>
      </w:pPr>
      <w:r>
        <w:t xml:space="preserve">•  Code on Social Security, 2020, § 2(35)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https://firstprecedent.org/transplants/worker-status-test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