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TR-0046 · International (Public)</w:t>
      </w:r>
    </w:p>
    <w:p>
      <w:pPr>
        <w:pStyle w:val="Title"/>
      </w:pPr>
      <w:r>
        <w:t xml:space="preserve">Universal Jurisdiction over International Crimes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Germany and South Africa prosecute genocide and torture wherever committed.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Völkerstrafgesetzbuch [VStGB] [Code of Crimes against International Law] (Ger.)</w:t>
      </w:r>
    </w:p>
    <w:p>
      <w:pPr>
        <w:pStyle w:val="Bullet"/>
      </w:pPr>
      <w:r>
        <w:t xml:space="preserve">•  Implementation of the Rome Statute of the International Criminal Court Act 27 of 2002 (S. Afr.)</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https://firstprecedent.org/transplants/universal-jurisdiction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