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TR-0020 · Labour</w:t>
      </w:r>
    </w:p>
    <w:p>
      <w:pPr>
        <w:pStyle w:val="Title"/>
      </w:pPr>
      <w:r>
        <w:t xml:space="preserve">A General Law of Unfair Dismissal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gives every employee with qualifying service a claim, not only "workmen".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Employment Rights Act 1996, c. 18, pt. X (U.K.)</w:t>
      </w:r>
    </w:p>
    <w:p>
      <w:pPr>
        <w:pStyle w:val="Bullet"/>
      </w:pPr>
      <w:r>
        <w:t xml:space="preserve">•  Industrial Disputes Act, 1947, § 2A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https://firstprecedent.org/transplants/unfair-dismissal-tribunal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