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TR-0049 · Property</w:t>
      </w:r>
    </w:p>
    <w:p>
      <w:pPr>
        <w:pStyle w:val="Title"/>
      </w:pPr>
      <w:r>
        <w:t xml:space="preserve">Guaranteed Land Title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Under the Torrens system used in Australia and Singapore the register is the title, and the State indemnifies errors.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Real Property Act 1900 (NSW) (Austl.)</w:t>
      </w:r>
    </w:p>
    <w:p>
      <w:pPr>
        <w:pStyle w:val="Bullet"/>
      </w:pPr>
      <w:r>
        <w:t xml:space="preserve">•  Land Titles Act 1993 (Sing.)</w:t>
      </w:r>
    </w:p>
    <w:p>
      <w:pPr>
        <w:pStyle w:val="Bullet"/>
      </w:pPr>
      <w:r>
        <w:t xml:space="preserve">•  Registration Act, 1908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https://firstprecedent.org/transplants/torrens-title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