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TR-0024 · Tax</w:t>
      </w:r>
    </w:p>
    <w:p>
      <w:pPr>
        <w:pStyle w:val="Title"/>
      </w:pPr>
      <w:r>
        <w:t xml:space="preserve">An Enforceable Taxpayer Bill of Rights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The United States codified ten rights and an independent advocate to enforce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26 U.S.C. § 7803(a)(3)</w:t>
      </w:r>
    </w:p>
    <w:p>
      <w:pPr>
        <w:pStyle w:val="Bullet"/>
      </w:pPr>
      <w:r>
        <w:t xml:space="preserve">•  Income-tax Act, 1961, § 119A</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https://firstprecedent.org/transplants/taxpayer-bill-of-rights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