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TR-0002 · Constitutional</w:t>
      </w:r>
    </w:p>
    <w:p>
      <w:pPr>
        <w:pStyle w:val="Title"/>
      </w:pPr>
      <w:r>
        <w:t xml:space="preserve">Suspended Declarations of Invalidity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Canadian and South African courts strike a law down but delay the effect so that the legislature can respond. The case for the remedy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Reference re Manitoba Language Rights, [1985] 1 SCR 721</w:t>
      </w:r>
    </w:p>
    <w:p>
      <w:pPr>
        <w:pStyle w:val="Bullet"/>
      </w:pPr>
      <w:r>
        <w:t xml:space="preserve">•  S. Afr. Const., 1996, § 172(1)(b)</w:t>
      </w:r>
    </w:p>
    <w:p>
      <w:pPr>
        <w:pStyle w:val="Bullet"/>
      </w:pPr>
      <w:r>
        <w:t xml:space="preserve">•  India Const. art. 142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https://firstprecedent.org/transplants/suspended-declarations-of-invalidity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