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TR-0031 · Securities</w:t>
      </w:r>
    </w:p>
    <w:p>
      <w:pPr>
        <w:pStyle w:val="Title"/>
      </w:pPr>
      <w:r>
        <w:t xml:space="preserve">Stewardship Duties for Institutional Investors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The United Kingdom and Japan expect large investors to monitor and vote, and to explain how they do so.</w:t>
      </w:r>
    </w:p>
    <w:p>
      <w:pPr>
        <w:pStyle w:val="Guidance"/>
      </w:pPr>
      <w:r>
        <w:t xml:space="preserve">Authorities to start from. These are places to begin, listed by the editors. Read each one in the original and check the citation before you rely on it.</w:t>
      </w:r>
    </w:p>
    <w:p>
      <w:pPr>
        <w:pStyle w:val="Bullet"/>
      </w:pPr>
      <w:r>
        <w:t xml:space="preserve">•  Financial Reporting Council, The UK Stewardship Code (2020)</w:t>
      </w:r>
    </w:p>
    <w:p>
      <w:pPr>
        <w:pStyle w:val="Bullet"/>
      </w:pPr>
      <w:r>
        <w:t xml:space="preserve">•  SEBI Circular on Stewardship Code for Mutual Funds and AIFs (24 Dec. 2019)</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https://firstprecedent.org/transplants/stewardship-duties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