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TR-0007 · Corporate</w:t>
      </w:r>
    </w:p>
    <w:p>
      <w:pPr>
        <w:pStyle w:val="Title"/>
      </w:pPr>
      <w:r>
        <w:t xml:space="preserve">A Statutory Derivative 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codified derivative claim with a leave stage, on the English, Singaporean and Canadian models, in place of the common law exceptions to Foss v. Harbottle.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2006, c. 46, §§ 260–264 (U.K.)</w:t>
      </w:r>
    </w:p>
    <w:p>
      <w:pPr>
        <w:pStyle w:val="Bullet"/>
      </w:pPr>
      <w:r>
        <w:t xml:space="preserve">•  Companies Act 1967, § 216A (Sing.)</w:t>
      </w:r>
    </w:p>
    <w:p>
      <w:pPr>
        <w:pStyle w:val="Bullet"/>
      </w:pPr>
      <w:r>
        <w:t xml:space="preserve">•  Companies Act, 2013, § 245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https://firstprecedent.org/transplants/statutory-derivative-action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