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TR-0053 · Criminal</w:t>
      </w:r>
    </w:p>
    <w:p>
      <w:pPr>
        <w:pStyle w:val="Title"/>
      </w:pPr>
      <w:r>
        <w:t xml:space="preserve">Spent Convictions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After a set period without reoffending, a minor conviction need not be disclosed to employers or others.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Rehabilitation of Offenders Act 1974, c. 53 (U.K.)</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https://firstprecedent.org/transplants/spent-convictions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