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TR-0042 · Media</w:t>
      </w:r>
    </w:p>
    <w:p>
      <w:pPr>
        <w:pStyle w:val="Title"/>
      </w:pPr>
      <w:r>
        <w:t xml:space="preserve">A Shield Law for Journalists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qualified privilege against disclosing sources, as in the United Kingdom and under the European Convention.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Contempt of Court Act 1981, c. 49, § 10 (U.K.)</w:t>
      </w:r>
    </w:p>
    <w:p>
      <w:pPr>
        <w:pStyle w:val="Bullet"/>
      </w:pPr>
      <w:r>
        <w:t xml:space="preserve">•  Goodwin v. United Kingdom, 22 Eur. H.R. Rep. 123 (1996)</w:t>
      </w:r>
    </w:p>
    <w:p>
      <w:pPr>
        <w:pStyle w:val="Bullet"/>
      </w:pPr>
      <w:r>
        <w:t xml:space="preserve">•  Law Commission of India, Report No. 93 (1983)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https://firstprecedent.org/transplants/shield-law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