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TR-0011 · Media</w:t>
      </w:r>
    </w:p>
    <w:p>
      <w:pPr>
        <w:pStyle w:val="Title"/>
      </w:pPr>
      <w:r>
        <w:t xml:space="preserve">A Serious Harm Threshold for Defamation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The English requirement that a statement cause or be likely to cause serious harm before it is actionable.</w:t>
      </w:r>
    </w:p>
    <w:p>
      <w:pPr>
        <w:pStyle w:val="Guidance"/>
      </w:pPr>
      <w:r>
        <w:t xml:space="preserve">Authorities to start from. These are places to begin, listed by the editors. Read each one in the original and check the citation before you rely on it.</w:t>
      </w:r>
    </w:p>
    <w:p>
      <w:pPr>
        <w:pStyle w:val="Bullet"/>
      </w:pPr>
      <w:r>
        <w:t xml:space="preserve">•  Defamation Act 2013, c. 26, § 1 (U.K.)</w:t>
      </w:r>
    </w:p>
    <w:p>
      <w:pPr>
        <w:pStyle w:val="Bullet"/>
      </w:pPr>
      <w:r>
        <w:t xml:space="preserve">•  Lachaux v. Independent Print Ltd., [2019] UKSC 27</w:t>
      </w:r>
    </w:p>
    <w:p>
      <w:pPr>
        <w:pStyle w:val="Bullet"/>
      </w:pPr>
      <w:r>
        <w:t xml:space="preserve">•  Subramanian Swamy v. Union of India, (2016) 7 SCC 221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https://firstprecedent.org/transplants/serious-harm-threshold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