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TR-0003 · Criminal</w:t>
      </w:r>
    </w:p>
    <w:p>
      <w:pPr>
        <w:pStyle w:val="Title"/>
      </w:pPr>
      <w:r>
        <w:t xml:space="preserve">A Sentencing Council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England and Wales issue binding guidelines through a statutory council. Whether the model fits a federal system with wide sentencing ranges.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Coroners and Justice Act 2009, c. 25, §§ 118–136 (U.K.)</w:t>
      </w:r>
    </w:p>
    <w:p>
      <w:pPr>
        <w:pStyle w:val="Bullet"/>
      </w:pPr>
      <w:r>
        <w:t xml:space="preserve">•  State of Punjab v. Prem Sagar, (2008) 7 SCC 550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https://firstprecedent.org/transplants/sentencing-council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