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TR-0015 · Environment</w:t>
      </w:r>
    </w:p>
    <w:p>
      <w:pPr>
        <w:pStyle w:val="Title"/>
      </w:pPr>
      <w:r>
        <w:t xml:space="preserve">Rights of Nature Statutes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New Zealand and Ecuador give legal standing to rivers and ecosystems by statute and constitution, with guardians appointed to act for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Te Awa Tupua (Whanganui River Claims Settlement) Act 2017 (N.Z.)</w:t>
      </w:r>
    </w:p>
    <w:p>
      <w:pPr>
        <w:pStyle w:val="Bullet"/>
      </w:pPr>
      <w:r>
        <w:t xml:space="preserve">•  Constitución de la República del Ecuador, 2008, arts. 71–74</w:t>
      </w:r>
    </w:p>
    <w:p>
      <w:pPr>
        <w:pStyle w:val="Bullet"/>
      </w:pPr>
      <w:r>
        <w:t xml:space="preserve">•  Mohd. Salim v. State of Uttarakhand, 2017 SCC OnLine Utt 367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https://firstprecedent.org/transplants/rights-of-nature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