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TR-0012 · Tech &amp; Data</w:t>
      </w:r>
    </w:p>
    <w:p>
      <w:pPr>
        <w:pStyle w:val="Title"/>
      </w:pPr>
      <w:r>
        <w:t xml:space="preserve">A Right to Be Forgotten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Erasure and de-indexing in European law, and what the Indian right to erasure leaves out, especially for court records.</w:t>
      </w:r>
    </w:p>
    <w:p>
      <w:pPr>
        <w:pStyle w:val="Guidance"/>
      </w:pPr>
      <w:r>
        <w:t xml:space="preserve">Authorities to start from. These are places to begin, listed by the editors. Read each one in the original and check the citation before you rely on it.</w:t>
      </w:r>
    </w:p>
    <w:p>
      <w:pPr>
        <w:pStyle w:val="Bullet"/>
      </w:pPr>
      <w:r>
        <w:t xml:space="preserve">•  Case C-131/12, Google Spain SL v. Agencia Española de Protección de Datos, ECLI:EU:C:2014:317</w:t>
      </w:r>
    </w:p>
    <w:p>
      <w:pPr>
        <w:pStyle w:val="Bullet"/>
      </w:pPr>
      <w:r>
        <w:t xml:space="preserve">•  Regulation 2016/679, art. 17, 2016 O.J. (L 119) 1 (EU)</w:t>
      </w:r>
    </w:p>
    <w:p>
      <w:pPr>
        <w:pStyle w:val="Bullet"/>
      </w:pPr>
      <w:r>
        <w:t xml:space="preserve">•  Digital Personal Data Protection Act, 2023, § 12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https://firstprecedent.org/transplants/right-to-be-forgotten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