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TR-0038 · IP</w:t>
      </w:r>
    </w:p>
    <w:p>
      <w:pPr>
        <w:pStyle w:val="Title"/>
      </w:pPr>
      <w:r>
        <w:t xml:space="preserve">Enforcing the Artist’s Resale Right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India has the right on paper; the European Union and Australia collect it through societies.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53A</w:t>
      </w:r>
    </w:p>
    <w:p>
      <w:pPr>
        <w:pStyle w:val="Bullet"/>
      </w:pPr>
      <w:r>
        <w:t xml:space="preserve">•  Directive 2001/84, 2001 O.J. (L 272) 32 (EC)</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https://firstprecedent.org/transplants/resale-right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