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TR-0026 · Competition</w:t>
      </w:r>
    </w:p>
    <w:p>
      <w:pPr>
        <w:pStyle w:val="Title"/>
      </w:pPr>
      <w:r>
        <w:t xml:space="preserve">Private Damages Actions in Competition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European Union’s 2014 directive makes it easier for cartel victims to sue: disclosure, a presumption of harm, joint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Directive 2014/104, 2014 O.J. (L 349) 1 (EU)</w:t>
      </w:r>
    </w:p>
    <w:p>
      <w:pPr>
        <w:pStyle w:val="Bullet"/>
      </w:pPr>
      <w:r>
        <w:t xml:space="preserve">•  Competition Act, 2002, § 53N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https://firstprecedent.org/transplants/private-enforcement-of-competition-law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