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TR-0039 · Tech &amp; Data</w:t>
      </w:r>
    </w:p>
    <w:p>
      <w:pPr>
        <w:pStyle w:val="Title"/>
      </w:pPr>
      <w:r>
        <w:t xml:space="preserve">An Independent Data Protection Authority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European law requires a regulator free of government instruction. Kenya and South Africa have followed.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Regulation 2016/679, arts. 51–54, 2016 O.J. (L 119) 1 (EU)</w:t>
      </w:r>
    </w:p>
    <w:p>
      <w:pPr>
        <w:pStyle w:val="Bullet"/>
      </w:pPr>
      <w:r>
        <w:t xml:space="preserve">•  Protection of Personal Information Act 4 of 2013 (S. Afr.)</w:t>
      </w:r>
    </w:p>
    <w:p>
      <w:pPr>
        <w:pStyle w:val="Bullet"/>
      </w:pPr>
      <w:r>
        <w:t xml:space="preserve">•  Digital Personal Data Protection Act, 2023, § 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https://firstprecedent.org/transplants/independent-data-regulator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