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TR-0014 · Contract</w:t>
      </w:r>
    </w:p>
    <w:p>
      <w:pPr>
        <w:pStyle w:val="Title"/>
      </w:pPr>
      <w:r>
        <w:t xml:space="preserve">A General Duty of Good Faith in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Civil law systems and now Canada recognise an organising principle of good faith in performance. Whether Indian contract law has room for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Bhasin v. Hrynew, 2014 SCC 71 (Can.)</w:t>
      </w:r>
    </w:p>
    <w:p>
      <w:pPr>
        <w:pStyle w:val="Bullet"/>
      </w:pPr>
      <w:r>
        <w:t xml:space="preserve">•  Bürgerliches Gesetzbuch [BGB] [Civil Code], § 242 (Ger.)</w:t>
      </w:r>
    </w:p>
    <w:p>
      <w:pPr>
        <w:pStyle w:val="Bullet"/>
      </w:pPr>
      <w:r>
        <w:t xml:space="preserve">•  Indian Contract Act, 1872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https://firstprecedent.org/transplants/good-faith-in-contract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