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TR-0025 · Tax</w:t>
      </w:r>
    </w:p>
    <w:p>
      <w:pPr>
        <w:pStyle w:val="Title"/>
      </w:pPr>
      <w:r>
        <w:t xml:space="preserve">An Independent Panel before Anti-Avoidance Rules Are Invoked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requires an outside panel’s opinion before its general anti-abuse rule is applied.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Finance Act 2013, c. 29, pt. 5 and sched. 43 (U.K.)</w:t>
      </w:r>
    </w:p>
    <w:p>
      <w:pPr>
        <w:pStyle w:val="Bullet"/>
      </w:pPr>
      <w:r>
        <w:t xml:space="preserve">•  Income-tax Act, 1961, § 144BA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https://firstprecedent.org/transplants/general-anti-avoidance-panel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