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TR-0045 · Environment</w:t>
      </w:r>
    </w:p>
    <w:p>
      <w:pPr>
        <w:pStyle w:val="Title"/>
      </w:pPr>
      <w:r>
        <w:t xml:space="preserve">A Commissioner for Future Generations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Wales and Hungary appoint an officer to speak for those not yet born when policy is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Well-being of Future Generations (Wales) Act 2015, anaw 2</w:t>
      </w:r>
    </w:p>
    <w:p>
      <w:pPr>
        <w:pStyle w:val="Bullet"/>
      </w:pPr>
      <w:r>
        <w:t xml:space="preserve">•  Act CXI of 2011 on the Commissioner for Fundamental Rights (Hung.)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https://firstprecedent.org/transplants/environmental-ombudsman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