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TR-0001 · Administrative</w:t>
      </w:r>
    </w:p>
    <w:p>
      <w:pPr>
        <w:pStyle w:val="Title"/>
      </w:pPr>
      <w:r>
        <w:t xml:space="preserve">A Duty of Candour for Public Authorities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English public law requires a respondent authority to lay all relevant facts before the court. Whether Indian writ practice should adopt it as a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R v. Lancashire County Council, ex parte Huddleston, [1986] 2 All ER 941</w:t>
      </w:r>
    </w:p>
    <w:p>
      <w:pPr>
        <w:pStyle w:val="Bullet"/>
      </w:pPr>
      <w:r>
        <w:t xml:space="preserve">•  S.P. Chengalvaraya Naidu v. Jagannath, (1994) 1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https://firstprecedent.org/transplants/duty-of-candour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