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TR-0005 · Criminal</w:t>
      </w:r>
    </w:p>
    <w:p>
      <w:pPr>
        <w:pStyle w:val="Title"/>
      </w:pPr>
      <w:r>
        <w:t xml:space="preserve">Diminished Responsibility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A partial defence reducing murder to a lesser offence where mental abnormality falls short of legal insanity.</w:t>
      </w:r>
    </w:p>
    <w:p>
      <w:pPr>
        <w:pStyle w:val="Guidance"/>
      </w:pPr>
      <w:r>
        <w:t xml:space="preserve">Authorities to start from. These are places to begin, listed by the editors. Read each one in the original and check the citation before you rely on it.</w:t>
      </w:r>
    </w:p>
    <w:p>
      <w:pPr>
        <w:pStyle w:val="Bullet"/>
      </w:pPr>
      <w:r>
        <w:t xml:space="preserve">•  Homicide Act 1957, 5 &amp; 6 Eliz. 2, c. 11, § 2 (U.K.)</w:t>
      </w:r>
    </w:p>
    <w:p>
      <w:pPr>
        <w:pStyle w:val="Bullet"/>
      </w:pPr>
      <w:r>
        <w:t xml:space="preserve">•  Dahyabhai Chhaganbhai Thakkar v. State of Gujarat, AIR 1964 SC 1563</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https://firstprecedent.org/transplants/diminished-responsibility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