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TR-0033 · Banking</w:t>
      </w:r>
    </w:p>
    <w:p>
      <w:pPr>
        <w:pStyle w:val="Title"/>
      </w:pPr>
      <w:r>
        <w:t xml:space="preserve">The UNCITRAL Model Law on Cross-Border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Recognition of foreign proceedings and cooperation between courts, adopted by Singapore, the United Kingdom and the United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UNCITRAL Model Law on Cross-Border Insolvency (1997)</w:t>
      </w:r>
    </w:p>
    <w:p>
      <w:pPr>
        <w:pStyle w:val="Bullet"/>
      </w:pPr>
      <w:r>
        <w:t xml:space="preserve">•  Insolvency Law Committee, Report on Cross Border Insolvency (2018)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https://firstprecedent.org/transplants/cross-border-insolvency-model-law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