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TR-0028 · Competition</w:t>
      </w:r>
    </w:p>
    <w:p>
      <w:pPr>
        <w:pStyle w:val="Title"/>
      </w:pPr>
      <w:r>
        <w:t xml:space="preserve">Prison for Price-Fixers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States, the United Kingdom and Australia prosecute individuals for hard-core cartels.</w:t>
      </w:r>
    </w:p>
    <w:p>
      <w:pPr>
        <w:pStyle w:val="Guidance"/>
      </w:pPr>
      <w:r>
        <w:t xml:space="preserve">Authorities to start from. These are places to begin, listed by the editors. Read each one in the original and check the citation before you rely on it.</w:t>
      </w:r>
    </w:p>
    <w:p>
      <w:pPr>
        <w:pStyle w:val="Bullet"/>
      </w:pPr>
      <w:r>
        <w:t xml:space="preserve">•  15 U.S.C. § 1</w:t>
      </w:r>
    </w:p>
    <w:p>
      <w:pPr>
        <w:pStyle w:val="Bullet"/>
      </w:pPr>
      <w:r>
        <w:t xml:space="preserve">•  Enterprise Act 2002, c. 40, § 188 (U.K.)</w:t>
      </w:r>
    </w:p>
    <w:p>
      <w:pPr>
        <w:pStyle w:val="Bullet"/>
      </w:pPr>
      <w:r>
        <w:t xml:space="preserve">•  Competition and Consumer Act 2010 (Cth) § 45AF (Austl.)</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https://firstprecedent.org/transplants/criminal-cartel-enforcement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