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TR-0016 · Family</w:t>
      </w:r>
    </w:p>
    <w:p>
      <w:pPr>
        <w:pStyle w:val="Title"/>
      </w:pPr>
      <w:r>
        <w:t xml:space="preserve">Community of Property between Spouses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Goa, France and South Africa treat assets acquired during marriage as jointly owned. Whether the rest of India should.</w:t>
      </w:r>
    </w:p>
    <w:p>
      <w:pPr>
        <w:pStyle w:val="Guidance"/>
      </w:pPr>
      <w:r>
        <w:t xml:space="preserve">Authorities to start from. These are places to begin, listed by the editors. Read each one in the original and check the citation before you rely on it.</w:t>
      </w:r>
    </w:p>
    <w:p>
      <w:pPr>
        <w:pStyle w:val="Bullet"/>
      </w:pPr>
      <w:r>
        <w:t xml:space="preserve">•  Portuguese Civil Code, 1867 (as in force in Goa)</w:t>
      </w:r>
    </w:p>
    <w:p>
      <w:pPr>
        <w:pStyle w:val="Bullet"/>
      </w:pPr>
      <w:r>
        <w:t xml:space="preserve">•  Matrimonial Property Act 88 of 1984 (S. Afr.)</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https://firstprecedent.org/transplants/community-of-property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