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TR-0022 · Labour</w:t>
      </w:r>
    </w:p>
    <w:p>
      <w:pPr>
        <w:pStyle w:val="Title"/>
      </w:pPr>
      <w:r>
        <w:t xml:space="preserve">Workers on Company Boards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German law seats employee representatives on supervisory boards. Article 43A points the same way and has not been acted on.</w:t>
      </w:r>
    </w:p>
    <w:p>
      <w:pPr>
        <w:pStyle w:val="Guidance"/>
      </w:pPr>
      <w:r>
        <w:t xml:space="preserve">Authorities to start from. These are places to begin, listed by the editors. Read each one in the original and check the citation before you rely on it.</w:t>
      </w:r>
    </w:p>
    <w:p>
      <w:pPr>
        <w:pStyle w:val="Bullet"/>
      </w:pPr>
      <w:r>
        <w:t xml:space="preserve">•  Mitbestimmungsgesetz [MitbestG] [Co-determination Act], May 4, 1976 (Ger.)</w:t>
      </w:r>
    </w:p>
    <w:p>
      <w:pPr>
        <w:pStyle w:val="Bullet"/>
      </w:pPr>
      <w:r>
        <w:t xml:space="preserve">•  India Const. art. 43A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https://firstprecedent.org/transplants/codetermination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