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TR-0044 · Environment</w:t>
      </w:r>
    </w:p>
    <w:p>
      <w:pPr>
        <w:pStyle w:val="Title"/>
      </w:pPr>
      <w:r>
        <w:t xml:space="preserve">A Framework Climate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Kenya and others set binding targets and an independent advisory body by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Climate Change Act 2008, c. 27 (U.K.)</w:t>
      </w:r>
    </w:p>
    <w:p>
      <w:pPr>
        <w:pStyle w:val="Bullet"/>
      </w:pPr>
      <w:r>
        <w:t xml:space="preserve">•  Climate Change Act, No. 11 of 2016 (Kenya)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https://firstprecedent.org/transplants/climate-framework-law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