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TR-0018 · Family</w:t>
      </w:r>
    </w:p>
    <w:p>
      <w:pPr>
        <w:pStyle w:val="Title"/>
      </w:pPr>
      <w:r>
        <w:t xml:space="preserve">Civil Partnership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registered status short of marriage, as in the United Kingdom and South Africa, for couples the marriage law excludes.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Civil Partnership Act 2004, c. 33 (U.K.)</w:t>
      </w:r>
    </w:p>
    <w:p>
      <w:pPr>
        <w:pStyle w:val="Bullet"/>
      </w:pPr>
      <w:r>
        <w:t xml:space="preserve">•  Civil Union Act 17 of 2006 (S. Afr.)</w:t>
      </w:r>
    </w:p>
    <w:p>
      <w:pPr>
        <w:pStyle w:val="Bullet"/>
      </w:pPr>
      <w:r>
        <w:t xml:space="preserve">•  Supriyo v. Union of India, 2023 SCC OnLine SC 1348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https://firstprecedent.org/transplants/civil-partnership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