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TR-0008 · Corporate</w:t>
      </w:r>
    </w:p>
    <w:p>
      <w:pPr>
        <w:pStyle w:val="Title"/>
      </w:pPr>
      <w:r>
        <w:t xml:space="preserve">The Business Judgment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presumption protecting directors’ good-faith decisions, as in Delaware and by statute in Australia and Germany.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Aronson v. Lewis, 473 A.2d 805 (Del. 1984)</w:t>
      </w:r>
    </w:p>
    <w:p>
      <w:pPr>
        <w:pStyle w:val="Bullet"/>
      </w:pPr>
      <w:r>
        <w:t xml:space="preserve">•  Corporations Act 2001 (Cth) § 180(2) (Austl.)</w:t>
      </w:r>
    </w:p>
    <w:p>
      <w:pPr>
        <w:pStyle w:val="Bullet"/>
      </w:pPr>
      <w:r>
        <w:t xml:space="preserve">•  Companies Act, 2013, § 166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https://firstprecedent.org/transplants/business-judgment-rule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