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TR-0010 · Media</w:t>
      </w:r>
    </w:p>
    <w:p>
      <w:pPr>
        <w:pStyle w:val="Title"/>
      </w:pPr>
      <w:r>
        <w:t xml:space="preserve">An Anti-SLAPP Procedure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Early dismissal of suits aimed at silencing public participation, on the Californian and Ontarian models.</w:t>
      </w:r>
    </w:p>
    <w:p>
      <w:pPr>
        <w:pStyle w:val="Guidance"/>
      </w:pPr>
      <w:r>
        <w:t xml:space="preserve">Authorities to start from. These are places to begin, listed by the editors. Read each one in the original and check the citation before you rely on it.</w:t>
      </w:r>
    </w:p>
    <w:p>
      <w:pPr>
        <w:pStyle w:val="Bullet"/>
      </w:pPr>
      <w:r>
        <w:t xml:space="preserve">•  Cal. Civ. Proc. Code § 425.16</w:t>
      </w:r>
    </w:p>
    <w:p>
      <w:pPr>
        <w:pStyle w:val="Bullet"/>
      </w:pPr>
      <w:r>
        <w:t xml:space="preserve">•  Courts of Justice Act, R.S.O. 1990, c. C.43, § 137.1 (Can.)</w:t>
      </w:r>
    </w:p>
    <w:p>
      <w:pPr>
        <w:pStyle w:val="Bullet"/>
      </w:pPr>
      <w:r>
        <w:t xml:space="preserve">•  Bloomberg Television Production Services India (P) Ltd. v. Zee Entertainment Enterprises Ltd., 2024 SCC OnLine SC 426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https://firstprecedent.org/transplants/anti-slapp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