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TR-0051 · Constitutional</w:t>
      </w:r>
    </w:p>
    <w:p>
      <w:pPr>
        <w:pStyle w:val="Title"/>
      </w:pPr>
      <w:r>
        <w:t xml:space="preserve">A Court of Appeal below the Supreme Court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Regional appeal benches to hear ordinary appeals, leaving the Supreme Court to constitutional questions.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Law Commission of India, Report No. 229 (2009)</w:t>
      </w:r>
    </w:p>
    <w:p>
      <w:pPr>
        <w:pStyle w:val="Bullet"/>
      </w:pPr>
      <w:r>
        <w:t xml:space="preserve">•  India Const. art. 130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https://firstprecedent.org/transplants/a-court-of-appeal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