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TS-0050 · Banking</w:t>
      </w:r>
    </w:p>
    <w:p>
      <w:pPr>
        <w:pStyle w:val="Title"/>
      </w:pPr>
      <w:r>
        <w:t xml:space="preserve">Declaring a Wilful Defaulter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Reserve Bank’s criteria and the hearing a borrower must be given before being so declared.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Bank of India v. Jah Developers (P) Ltd., (2019) 6 SCC 787</w:t>
      </w:r>
    </w:p>
    <w:p>
      <w:pPr>
        <w:pStyle w:val="Bullet"/>
      </w:pPr>
      <w:r>
        <w:t xml:space="preserve">•  State Bank of India v. Rajesh Agarwal, (2023) 6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https://firstprecedent.org/tests/wilful-defaulter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