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TS-0004 · Administrative</w:t>
      </w:r>
    </w:p>
    <w:p>
      <w:pPr>
        <w:pStyle w:val="Title"/>
      </w:pPr>
      <w:r>
        <w:t xml:space="preserve">Wednesbury Unreasonableness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decision so unreasonable that no reasonable authority could have reached it: the test and its relation to proportionality.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Associated Provincial Picture Houses Ltd. v. Wednesbury Corpn., [1948] 1 KB 223</w:t>
      </w:r>
    </w:p>
    <w:p>
      <w:pPr>
        <w:pStyle w:val="Bullet"/>
      </w:pPr>
      <w:r>
        <w:t xml:space="preserve">•  Tata Cellular v. Union of India, (1994) 6 SCC 651</w:t>
      </w:r>
    </w:p>
    <w:p>
      <w:pPr>
        <w:pStyle w:val="Bullet"/>
      </w:pPr>
      <w:r>
        <w:t xml:space="preserve">•  Om Kumar v. Union of India, (2001) 2 SCC 386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https://firstprecedent.org/tests/wednesbury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