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TS-0012 · Criminal</w:t>
      </w:r>
    </w:p>
    <w:p>
      <w:pPr>
        <w:pStyle w:val="Title"/>
      </w:pPr>
      <w:r>
        <w:t xml:space="preserve">The Virsa Singh Test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four steps for murder under the third clause of section 300: intended injury, sufficient in the ordinary course to cause death.</w:t>
      </w:r>
    </w:p>
    <w:p>
      <w:pPr>
        <w:pStyle w:val="Guidance"/>
      </w:pPr>
      <w:r>
        <w:t xml:space="preserve">Authorities to start from. These are places to begin, listed by the editors. Read each one in the original and check the citation before you rely on it.</w:t>
      </w:r>
    </w:p>
    <w:p>
      <w:pPr>
        <w:pStyle w:val="Bullet"/>
      </w:pPr>
      <w:r>
        <w:t xml:space="preserve">•  Virsa Singh v. State of Punjab, AIR 1958 SC 465</w:t>
      </w:r>
    </w:p>
    <w:p>
      <w:pPr>
        <w:pStyle w:val="Bullet"/>
      </w:pPr>
      <w:r>
        <w:t xml:space="preserve">•  Indian Penal Code, 1860, § 300 (now Bharatiya Nyaya Sanhita, 2023, § 101)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https://firstprecedent.org/tests/virsa-singh</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