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TS-0075 · Constitutional</w:t>
      </w:r>
    </w:p>
    <w:p>
      <w:pPr>
        <w:pStyle w:val="Title"/>
      </w:pPr>
      <w:r>
        <w:t xml:space="preserve">Triple Test for Reservation in Local Bodies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three conditions for reserving seats for backward classes in local bodies: a dedicated commission, body-wise data, and the fifty per cent limit.</w:t>
      </w:r>
    </w:p>
    <w:p>
      <w:pPr>
        <w:pStyle w:val="Guidance"/>
      </w:pPr>
      <w:r>
        <w:t xml:space="preserve">Authorities to start from. These are places to begin, listed by the editors. Read each one in the original and check the citation before you rely on it.</w:t>
      </w:r>
    </w:p>
    <w:p>
      <w:pPr>
        <w:pStyle w:val="Bullet"/>
      </w:pPr>
      <w:r>
        <w:t xml:space="preserve">•  Vikas Kishanrao Gawali v. State of Maharashtra, (2021) 6 SCC 73</w:t>
      </w:r>
    </w:p>
    <w:p>
      <w:pPr>
        <w:pStyle w:val="Bullet"/>
      </w:pPr>
      <w:r>
        <w:t xml:space="preserve">•  K. Krishna Murthy v. Union of India, (2010) 7 SCC 202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https://firstprecedent.org/tests/triple-test-for-local-body-reservation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