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TS-0107 · Criminal</w:t>
      </w:r>
    </w:p>
    <w:p>
      <w:pPr>
        <w:pStyle w:val="Title"/>
      </w:pPr>
      <w:r>
        <w:t xml:space="preserve">Transfer of Investigation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constitutional court will hand an investigation to the central agency without the State’s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W.B. v. Committee for Protection of Democratic Rights, (2010) 3 SCC 571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https://firstprecedent.org/tests/transfer-of-investigation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