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TS-0158 · Criminal</w:t>
      </w:r>
    </w:p>
    <w:p>
      <w:pPr>
        <w:pStyle w:val="Title"/>
      </w:pPr>
      <w:r>
        <w:t xml:space="preserve">Transfer of a Criminal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reasonable apprehension that justice will not be done, on which a trial is moved to another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Sanjay Gandhi v. Rani Jethmalani, (1979) 4 SCC 167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https://firstprecedent.org/tests/transfer-of-a-criminal-trial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