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TS-0020 · Civil Procedure</w:t>
      </w:r>
    </w:p>
    <w:p>
      <w:pPr>
        <w:pStyle w:val="Title"/>
      </w:pPr>
      <w:r>
        <w:t xml:space="preserve">The Three Ingredients of an Interim Injunction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Prima facie case, balance of convenience and irreparable injury, and how each is weighed.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Dalpat Kumar v. Prahlad Singh, (1992) 1 SCC 719</w:t>
      </w:r>
    </w:p>
    <w:p>
      <w:pPr>
        <w:pStyle w:val="Bullet"/>
      </w:pPr>
      <w:r>
        <w:t xml:space="preserve">•  Gujarat Bottling Co. Ltd. v. Coca Cola Co., (1995) 5 SCC 545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https://firstprecedent.org/tests/three-ingredients-interim-injunction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