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TS-0099 · Criminal</w:t>
      </w:r>
    </w:p>
    <w:p>
      <w:pPr>
        <w:pStyle w:val="Title"/>
      </w:pPr>
      <w:r>
        <w:t xml:space="preserve">Summoning an Additional Accused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degree of evidence needed during trial to add a person as accused: more than a prima facie case, short of proof.</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319 (now Bharatiya Nagarik Suraksha Sanhita, 2023, § 358)</w:t>
      </w:r>
    </w:p>
    <w:p>
      <w:pPr>
        <w:pStyle w:val="Bullet"/>
      </w:pPr>
      <w:r>
        <w:t xml:space="preserve">•  Hardeep Singh v. State of Punjab, (2014) 3 SCC 92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https://firstprecedent.org/tests/summoning-an-additional-accused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