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TS-0156 · Criminal</w:t>
      </w:r>
    </w:p>
    <w:p>
      <w:pPr>
        <w:pStyle w:val="Title"/>
      </w:pPr>
      <w:r>
        <w:t xml:space="preserve">Summoning an Accused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a magistrate must be satisfied of before issuing process, given that summoning is a serious matter.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Pepsi Foods Ltd. v. Special Judicial Magistrate, (1998) 5 SCC 749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https://firstprecedent.org/tests/summoning-an-accused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