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TS-0030 · IP</w:t>
      </w:r>
    </w:p>
    <w:p>
      <w:pPr>
        <w:pStyle w:val="Title"/>
      </w:pPr>
      <w:r>
        <w:t xml:space="preserve">The Lay Observer Test for Copyright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No copyright in an idea; infringement is judged by the impression on a viewer who has seen both works.</w:t>
      </w:r>
    </w:p>
    <w:p>
      <w:pPr>
        <w:pStyle w:val="Guidance"/>
      </w:pPr>
      <w:r>
        <w:t xml:space="preserve">Authorities to start from. These are places to begin, listed by the editors. Read each one in the original and check the citation before you rely on it.</w:t>
      </w:r>
    </w:p>
    <w:p>
      <w:pPr>
        <w:pStyle w:val="Bullet"/>
      </w:pPr>
      <w:r>
        <w:t xml:space="preserve">•  R.G. Anand v. Delux Films, (1978) 4 SCC 118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https://firstprecedent.org/tests/substantial-similarity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