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Test · TS-0110 · Evidence</w:t>
      </w:r>
    </w:p>
    <w:p>
      <w:pPr>
        <w:pStyle w:val="Title"/>
      </w:pPr>
      <w:r>
        <w:t xml:space="preserve">Sterling Witness</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The question the test answers</w:t>
      </w:r>
    </w:p>
    <w:p>
      <w:pPr>
        <w:pStyle w:val="Guidance"/>
      </w:pPr>
      <w:r>
        <w:t xml:space="preserve">What a court is trying to decide when it uses this test.</w:t>
      </w:r>
    </w:p>
    <w:p/>
    <w:p>
      <w:pPr>
        <w:pStyle w:val="Heading1"/>
      </w:pPr>
      <w:r>
        <w:t xml:space="preserve">The steps</w:t>
      </w:r>
    </w:p>
    <w:p>
      <w:pPr>
        <w:pStyle w:val="Guidance"/>
      </w:pPr>
      <w:r>
        <w:t xml:space="preserve">Each step in order, stated as the courts state it.</w:t>
      </w:r>
    </w:p>
    <w:p/>
    <w:p>
      <w:pPr>
        <w:pStyle w:val="Heading1"/>
      </w:pPr>
      <w:r>
        <w:t xml:space="preserve">The case behind each step</w:t>
      </w:r>
    </w:p>
    <w:p>
      <w:pPr>
        <w:pStyle w:val="Guidance"/>
      </w:pPr>
      <w:r>
        <w:t xml:space="preserve">Where each step came from, with pinpoint references.</w:t>
      </w:r>
    </w:p>
    <w:p/>
    <w:p>
      <w:pPr>
        <w:pStyle w:val="Heading1"/>
      </w:pPr>
      <w:r>
        <w:t xml:space="preserve">How courts apply it</w:t>
      </w:r>
    </w:p>
    <w:p>
      <w:pPr>
        <w:pStyle w:val="Guidance"/>
      </w:pPr>
      <w:r>
        <w:t xml:space="preserve">Recent decisions, including ones that applied the test loosely.</w:t>
      </w:r>
    </w:p>
    <w:p/>
    <w:p>
      <w:pPr>
        <w:pStyle w:val="Heading1"/>
      </w:pPr>
      <w:r>
        <w:t xml:space="preserve">Criticism</w:t>
      </w:r>
    </w:p>
    <w:p>
      <w:pPr>
        <w:pStyle w:val="Guidance"/>
      </w:pPr>
      <w:r>
        <w:t xml:space="preserve">What judges and writers have said is wrong or unclear about the test.</w:t>
      </w:r>
    </w:p>
    <w:p/>
    <w:p>
      <w:pPr>
        <w:pStyle w:val="Heading1"/>
      </w:pPr>
      <w:r>
        <w:t xml:space="preserve">Notes for the writer (delete before submitting)</w:t>
      </w:r>
    </w:p>
    <w:p>
      <w:pPr>
        <w:pStyle w:val="Guidance"/>
      </w:pPr>
      <w:r>
        <w:t xml:space="preserve">Scope of this entry. The qualities that let a court convict on one witness alone: consistency, natural conduct and agreement with the other evidence.</w:t>
      </w:r>
    </w:p>
    <w:p>
      <w:pPr>
        <w:pStyle w:val="Guidance"/>
      </w:pPr>
      <w:r>
        <w:t xml:space="preserve">Authorities to start from. These are places to begin, listed by the editors. Read each one in the original and check the citation before you rely on it.</w:t>
      </w:r>
    </w:p>
    <w:p>
      <w:pPr>
        <w:pStyle w:val="Bullet"/>
      </w:pPr>
      <w:r>
        <w:t xml:space="preserve">•  Rai Sandeep v. State (NCT of Delhi), (2012) 8 SCC 21</w:t>
      </w:r>
    </w:p>
    <w:p>
      <w:pPr>
        <w:pStyle w:val="Guidance"/>
      </w:pPr>
      <w:r>
        <w:t xml:space="preserve">Length. At least 2,000 words, not counting footnotes.</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https://firstprecedent.org/submit after claiming the entry at https://firstprecedent.org/tests/sterling-witness</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