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TS-0157 · Criminal</w:t>
      </w:r>
    </w:p>
    <w:p>
      <w:pPr>
        <w:pStyle w:val="Title"/>
      </w:pPr>
      <w:r>
        <w:t xml:space="preserve">Stay of Conviction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an appellate court will suspend the conviction itself and not only the sentence.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389 (now Bharatiya Nagarik Suraksha Sanhita, 2023, § 430)</w:t>
      </w:r>
    </w:p>
    <w:p>
      <w:pPr>
        <w:pStyle w:val="Bullet"/>
      </w:pPr>
      <w:r>
        <w:t xml:space="preserve">•  Rama Narang v. Ramesh Narang, (1995) 2 SCC 513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https://firstprecedent.org/tests/stay-of-conviction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