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TS-0084 · Administrative</w:t>
      </w:r>
    </w:p>
    <w:p>
      <w:pPr>
        <w:pStyle w:val="Title"/>
      </w:pPr>
      <w:r>
        <w:t xml:space="preserve">Shockingly Disproportionate Punishment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interfere with a disciplinary penalty: only where it shocks the conscience.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B.C. Chaturvedi v. Union of India, (1995) 6 SCC 749</w:t>
      </w:r>
    </w:p>
    <w:p>
      <w:pPr>
        <w:pStyle w:val="Bullet"/>
      </w:pPr>
      <w:r>
        <w:t xml:space="preserve">•  Ranjit Thakur v. Union of India, (1987) 4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https://firstprecedent.org/tests/shockingly-disproportionate-punishment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