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TS-0026 · Labour</w:t>
      </w:r>
    </w:p>
    <w:p>
      <w:pPr>
        <w:pStyle w:val="Title"/>
      </w:pPr>
      <w:r>
        <w:t xml:space="preserve">Sham and Camouflage in Contract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contractor is treated as a mere name-lender and the contract workers as the principal employer’s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Steel Authority of India Ltd. v. National Union Waterfront Workers, (2001) 7 SCC 1</w:t>
      </w:r>
    </w:p>
    <w:p>
      <w:pPr>
        <w:pStyle w:val="Bullet"/>
      </w:pPr>
      <w:r>
        <w:t xml:space="preserve">•  International Airport Authority of India v. International Air Cargo Workers’ Union, (2009) 13 SCC 374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https://firstprecedent.org/tests/sham-contract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