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TS-0132 · Banking</w:t>
      </w:r>
    </w:p>
    <w:p>
      <w:pPr>
        <w:pStyle w:val="Title"/>
      </w:pPr>
      <w:r>
        <w:t xml:space="preserve">Security Cheque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dishonour of a cheque given as security is an offence, which turns on whether a debt existed when it was presented.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Sripati Singh v. State of Jharkhand, 2021 SCC OnLine SC 1002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https://firstprecedent.org/tests/security-cheque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