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TS-0129 · Corporate</w:t>
      </w:r>
    </w:p>
    <w:p>
      <w:pPr>
        <w:pStyle w:val="Title"/>
      </w:pPr>
      <w:r>
        <w:t xml:space="preserve">Sanction of a Scheme of Arrangement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tribunal examines before approving a merger or compromise, and why it does not sit in appeal over the commercial terms.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230–232</w:t>
      </w:r>
    </w:p>
    <w:p>
      <w:pPr>
        <w:pStyle w:val="Bullet"/>
      </w:pPr>
      <w:r>
        <w:t xml:space="preserve">•  Miheer H. Mafatlal v. Mafatlal Industries Ltd., (1997) 1 SCC 579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https://firstprecedent.org/tests/sanction-of-a-scheme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