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TS-0007 · Constitutional</w:t>
      </w:r>
    </w:p>
    <w:p>
      <w:pPr>
        <w:pStyle w:val="Title"/>
      </w:pPr>
      <w:r>
        <w:t xml:space="preserve">The Rights Test for the Ninth Schedule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two-step inquiry for laws placed in the Ninth Schedule after 24 April 1973: the impact on rights that form part of the basic structure.</w:t>
      </w:r>
    </w:p>
    <w:p>
      <w:pPr>
        <w:pStyle w:val="Guidance"/>
      </w:pPr>
      <w:r>
        <w:t xml:space="preserve">Authorities to start from. These are places to begin, listed by the editors. Read each one in the original and check the citation before you rely on it.</w:t>
      </w:r>
    </w:p>
    <w:p>
      <w:pPr>
        <w:pStyle w:val="Bullet"/>
      </w:pPr>
      <w:r>
        <w:t xml:space="preserve">•  I.R. Coelho v. State of T.N., (2007) 2 SCC 1</w:t>
      </w:r>
    </w:p>
    <w:p>
      <w:pPr>
        <w:pStyle w:val="Bullet"/>
      </w:pPr>
      <w:r>
        <w:t xml:space="preserve">•  Waman Rao v. Union of India, (1981) 2 SCC 362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https://firstprecedent.org/tests/rights-test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