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TS-0023 · Contract</w:t>
      </w:r>
    </w:p>
    <w:p>
      <w:pPr>
        <w:pStyle w:val="Title"/>
      </w:pPr>
      <w:r>
        <w:t xml:space="preserve">Remoteness of Damage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Damages for breach are limited to loss arising naturally or within the parties’ contemplation: section 73 and Hadley v. Baxendale.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Hadley v. Baxendale, (1854) 9 Exch 341</w:t>
      </w:r>
    </w:p>
    <w:p>
      <w:pPr>
        <w:pStyle w:val="Bullet"/>
      </w:pPr>
      <w:r>
        <w:t xml:space="preserve">•  Indian Contract Act, 1872, § 73</w:t>
      </w:r>
    </w:p>
    <w:p>
      <w:pPr>
        <w:pStyle w:val="Bullet"/>
      </w:pPr>
      <w:r>
        <w:t xml:space="preserve">•  Karsandas H. Thacker v. Saran Engineering Co. Ltd., AIR 1965 SC 1981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https://firstprecedent.org/tests/remoteness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