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TS-0021 · Civil Procedure</w:t>
      </w:r>
    </w:p>
    <w:p>
      <w:pPr>
        <w:pStyle w:val="Title"/>
      </w:pPr>
      <w:r>
        <w:t xml:space="preserve">Rejection of a Plaint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Order VII Rule 11: the plaint read as a whole, without the defence, and the bar on clever drafting.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T. Arivandandam v. T.V. Satyapal, (1977) 4 SCC 467</w:t>
      </w:r>
    </w:p>
    <w:p>
      <w:pPr>
        <w:pStyle w:val="Bullet"/>
      </w:pPr>
      <w:r>
        <w:t xml:space="preserve">•  Dahiben v. Arvindbhai Kalyanji Bhanusali, (2020) 7 SCC 366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https://firstprecedent.org/tests/rejection-of-plaint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